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right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352425</wp:posOffset>
            </wp:positionH>
            <wp:positionV relativeFrom="paragraph">
              <wp:posOffset>66675</wp:posOffset>
            </wp:positionV>
            <wp:extent cx="1704975" cy="971550"/>
            <wp:effectExtent b="0" l="0" r="0" t="0"/>
            <wp:wrapNone/>
            <wp:docPr descr="C:\Users\Scotia.22HW008777\Documents\webs\agiles2018-old\images\agiles\logo_agiles2018-03.png" id="1" name="image3.png"/>
            <a:graphic>
              <a:graphicData uri="http://schemas.openxmlformats.org/drawingml/2006/picture">
                <pic:pic>
                  <pic:nvPicPr>
                    <pic:cNvPr descr="C:\Users\Scotia.22HW008777\Documents\webs\agiles2018-old\images\agiles\logo_agiles2018-03.png" id="0" name="image3.png"/>
                    <pic:cNvPicPr preferRelativeResize="0"/>
                  </pic:nvPicPr>
                  <pic:blipFill>
                    <a:blip r:embed="rId6"/>
                    <a:srcRect b="25174" l="6259" r="6397" t="25174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9715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Ciudad de México a  &lt;DIA&gt;  &lt;MES&gt;  de 2018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quien corresponda: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medio de la presente carta hacemos de su conocimiento que </w:t>
      </w:r>
      <w:r w:rsidDel="00000000" w:rsidR="00000000" w:rsidRPr="00000000">
        <w:rPr>
          <w:b w:val="1"/>
          <w:i w:val="1"/>
          <w:rtl w:val="0"/>
        </w:rPr>
        <w:t xml:space="preserve">&lt;Nombre&gt;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está interesado en asistir a las XI Jornadas Latinoamericanas de Agilidad  que se llevará a cabo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4, 5 y 6 de octubre del 2018.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participante manifiesta que pagará su boleto en breve, de su bolsillo o esperando apoyo económico por parte de la empresa u organización, pero es importante el apoyo de ustedes como empresa para que se le permita no asistir a sus labores con ustedes los días del evento, es decir, no asistir el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jueves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4 de octubre,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viernes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5 de octubre y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sábado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6 de octubre.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El participante recibirá una constancia digital de </w:t>
      </w:r>
      <w:r w:rsidDel="00000000" w:rsidR="00000000" w:rsidRPr="00000000">
        <w:rPr>
          <w:b w:val="1"/>
          <w:u w:val="single"/>
          <w:rtl w:val="0"/>
        </w:rPr>
        <w:t xml:space="preserve">asistencia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u w:val="single"/>
          <w:rtl w:val="0"/>
        </w:rPr>
        <w:t xml:space="preserve">posterior al evento con la cuál podrá justificar su ausencia laboral.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XI Jornadas Latinoamericanas de Agilidad este 2018 se compone de múltiples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conferencias, conversatorios y talleres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impartidos por conocedores desde todas las comunidades ágiles de Latinoamérica, España y otros países, cuyo objetivo compartir experiencias y conocimientos en temas que engloban el impacto de la agilidad en el desarrollo de sistemas, productos y servicios, la transformación de las organizaciones y de equipos de trabajo, así como el desarrollo de las personas que forman o formarían parte de equipos de trabajo en diferentes áreas.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Este evento no sólo traerá beneficios individuales para el participante, traerá además  beneficios para el equipo donde se encuentre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ya que es una excelente oportunidad de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capacitación y actualización a través de conferencias, talleres y networking.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El participante adquirirá conocimientos de voz de expertos que han implementado marcos ágiles tanto en México como en Latinoamérica.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equipo organizador de las XI Jornadas Latinoamericanas de Agilidad quedamos a sus órdenes por si tienen alguna duda sobre los beneficios grupales que acabamos de mencionar.</w:t>
      </w:r>
    </w:p>
    <w:sectPr>
      <w:footerReference r:id="rId7" w:type="default"/>
      <w:pgSz w:h="15840" w:w="12240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11091.0" w:type="dxa"/>
      <w:jc w:val="left"/>
      <w:tblInd w:w="0.0" w:type="dxa"/>
      <w:tblBorders>
        <w:top w:color="808080" w:space="0" w:sz="18" w:val="single"/>
        <w:insideV w:color="808080" w:space="0" w:sz="18" w:val="single"/>
      </w:tblBorders>
      <w:tblLayout w:type="fixed"/>
      <w:tblLook w:val="0400"/>
    </w:tblPr>
    <w:tblGrid>
      <w:gridCol w:w="1150"/>
      <w:gridCol w:w="1813"/>
      <w:gridCol w:w="8128"/>
      <w:tblGridChange w:id="0">
        <w:tblGrid>
          <w:gridCol w:w="1150"/>
          <w:gridCol w:w="1813"/>
          <w:gridCol w:w="8128"/>
        </w:tblGrid>
      </w:tblGridChange>
    </w:tblGrid>
    <w:tr>
      <w:trPr>
        <w:trHeight w:val="520" w:hRule="atLeast"/>
      </w:trPr>
      <w:tc>
        <w:tcPr>
          <w:tcBorders>
            <w:top w:color="808080" w:space="0" w:sz="8" w:val="single"/>
            <w:right w:color="808080" w:space="0" w:sz="8" w:val="single"/>
          </w:tcBorders>
        </w:tcPr>
        <w:p w:rsidR="00000000" w:rsidDel="00000000" w:rsidP="00000000" w:rsidRDefault="00000000" w:rsidRPr="00000000" w14:paraId="0000001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contextualSpacing w:val="0"/>
            <w:jc w:val="righ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1f497d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1f497d"/>
              <w:sz w:val="22"/>
              <w:szCs w:val="22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1f497d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/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1f497d"/>
              <w:sz w:val="22"/>
              <w:szCs w:val="22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808080" w:space="0" w:sz="8" w:val="single"/>
            <w:left w:color="808080" w:space="0" w:sz="8" w:val="single"/>
            <w:right w:color="000000" w:space="0" w:sz="0" w:val="nil"/>
          </w:tcBorders>
        </w:tcPr>
        <w:p w:rsidR="00000000" w:rsidDel="00000000" w:rsidP="00000000" w:rsidRDefault="00000000" w:rsidRPr="00000000" w14:paraId="0000001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19050" distT="19050" distL="19050" distR="19050">
                <wp:extent cx="971550" cy="454685"/>
                <wp:effectExtent b="0" l="0" r="0" t="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"/>
                        <a:srcRect b="11189" l="3447" r="10344" t="699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45468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</w:t>
          </w:r>
        </w:p>
      </w:tc>
      <w:tc>
        <w:tcPr>
          <w:tcBorders>
            <w:top w:color="808080" w:space="0" w:sz="8" w:val="single"/>
            <w:left w:color="000000" w:space="0" w:sz="0" w:val="nil"/>
          </w:tcBorders>
        </w:tcPr>
        <w:p w:rsidR="00000000" w:rsidDel="00000000" w:rsidP="00000000" w:rsidRDefault="00000000" w:rsidRPr="00000000" w14:paraId="0000001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contextualSpacing w:val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4f81bd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4f81bd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Equipo organizador de las Jornadas Latinoamericanas de Metodologías Ágiles en México 2018</w:t>
          </w:r>
        </w:p>
        <w:p w:rsidR="00000000" w:rsidDel="00000000" w:rsidP="00000000" w:rsidRDefault="00000000" w:rsidRPr="00000000" w14:paraId="0000001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915"/>
              <w:tab w:val="center" w:pos="3956"/>
            </w:tabs>
            <w:spacing w:after="0" w:before="0" w:line="240" w:lineRule="auto"/>
            <w:ind w:left="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4f81bd"/>
              <w:sz w:val="20"/>
              <w:szCs w:val="20"/>
              <w:u w:val="none"/>
              <w:shd w:fill="auto" w:val="clear"/>
              <w:vertAlign w:val="baseline"/>
              <w:rtl w:val="0"/>
            </w:rPr>
            <w:tab/>
            <w:tab/>
            <w:t xml:space="preserve">http://agiles2018.agiles.org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before="480" w:lineRule="auto"/>
      <w:contextualSpacing w:val="1"/>
    </w:pPr>
    <w:rPr>
      <w:rFonts w:ascii="Cambria" w:cs="Cambria" w:eastAsia="Cambria" w:hAnsi="Cambria"/>
      <w:b w:val="1"/>
      <w:sz w:val="28"/>
      <w:szCs w:val="28"/>
    </w:rPr>
  </w:style>
  <w:style w:type="paragraph" w:styleId="Heading2">
    <w:name w:val="heading 2"/>
    <w:basedOn w:val="Normal"/>
    <w:next w:val="Normal"/>
    <w:pPr>
      <w:spacing w:after="0" w:before="20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3">
    <w:name w:val="heading 3"/>
    <w:basedOn w:val="Normal"/>
    <w:next w:val="Normal"/>
    <w:pPr>
      <w:spacing w:after="0" w:before="200" w:line="271" w:lineRule="auto"/>
    </w:pPr>
    <w:rPr>
      <w:rFonts w:ascii="Cambria" w:cs="Cambria" w:eastAsia="Cambria" w:hAnsi="Cambria"/>
      <w:b w:val="1"/>
    </w:rPr>
  </w:style>
  <w:style w:type="paragraph" w:styleId="Heading4">
    <w:name w:val="heading 4"/>
    <w:basedOn w:val="Normal"/>
    <w:next w:val="Normal"/>
    <w:pPr>
      <w:spacing w:after="0" w:before="200" w:lineRule="auto"/>
    </w:pPr>
    <w:rPr>
      <w:rFonts w:ascii="Cambria" w:cs="Cambria" w:eastAsia="Cambria" w:hAnsi="Cambria"/>
      <w:b w:val="1"/>
      <w:i w:val="1"/>
    </w:rPr>
  </w:style>
  <w:style w:type="paragraph" w:styleId="Heading5">
    <w:name w:val="heading 5"/>
    <w:basedOn w:val="Normal"/>
    <w:next w:val="Normal"/>
    <w:pPr>
      <w:spacing w:after="0" w:before="200" w:lineRule="auto"/>
    </w:pPr>
    <w:rPr>
      <w:rFonts w:ascii="Cambria" w:cs="Cambria" w:eastAsia="Cambria" w:hAnsi="Cambria"/>
      <w:b w:val="1"/>
      <w:color w:val="7f7f7f"/>
    </w:rPr>
  </w:style>
  <w:style w:type="paragraph" w:styleId="Heading6">
    <w:name w:val="heading 6"/>
    <w:basedOn w:val="Normal"/>
    <w:next w:val="Normal"/>
    <w:pPr>
      <w:spacing w:after="0" w:line="271" w:lineRule="auto"/>
    </w:pPr>
    <w:rPr>
      <w:rFonts w:ascii="Cambria" w:cs="Cambria" w:eastAsia="Cambria" w:hAnsi="Cambria"/>
      <w:b w:val="1"/>
      <w:i w:val="1"/>
      <w:color w:val="7f7f7f"/>
    </w:rPr>
  </w:style>
  <w:style w:type="paragraph" w:styleId="Title">
    <w:name w:val="Title"/>
    <w:basedOn w:val="Normal"/>
    <w:next w:val="Normal"/>
    <w:pPr>
      <w:pBdr>
        <w:bottom w:color="000000" w:space="1" w:sz="4" w:val="single"/>
      </w:pBdr>
      <w:spacing w:line="240" w:lineRule="auto"/>
      <w:contextualSpacing w:val="1"/>
    </w:pPr>
    <w:rPr>
      <w:rFonts w:ascii="Cambria" w:cs="Cambria" w:eastAsia="Cambria" w:hAnsi="Cambria"/>
      <w:sz w:val="52"/>
      <w:szCs w:val="52"/>
    </w:rPr>
  </w:style>
  <w:style w:type="paragraph" w:styleId="Subtitle">
    <w:name w:val="Subtitle"/>
    <w:basedOn w:val="Normal"/>
    <w:next w:val="Normal"/>
    <w:pPr>
      <w:spacing w:after="600" w:lineRule="auto"/>
    </w:pPr>
    <w:rPr>
      <w:rFonts w:ascii="Cambria" w:cs="Cambria" w:eastAsia="Cambria" w:hAnsi="Cambria"/>
      <w:i w:val="1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